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71DF8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山东省立医院</w:t>
      </w:r>
    </w:p>
    <w:p w14:paraId="46A66441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异基因造血干细胞移植技术规范化培训基地</w:t>
      </w:r>
    </w:p>
    <w:p w14:paraId="3E1E4904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培训大纲</w:t>
      </w:r>
    </w:p>
    <w:p w14:paraId="130E797E">
      <w:pPr>
        <w:numPr>
          <w:ilvl w:val="0"/>
          <w:numId w:val="0"/>
        </w:numPr>
        <w:rPr>
          <w:rFonts w:ascii="宋体" w:hAnsi="宋体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宋体" w:hAnsi="宋体" w:eastAsia="仿宋" w:cs="仿宋"/>
          <w:b/>
          <w:bCs/>
          <w:sz w:val="32"/>
          <w:szCs w:val="32"/>
        </w:rPr>
        <w:t>培训方案</w:t>
      </w:r>
    </w:p>
    <w:p w14:paraId="7BF00B0A">
      <w:pPr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 xml:space="preserve">  （一）培训目的：本单位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异基因</w:t>
      </w:r>
      <w:r>
        <w:rPr>
          <w:rFonts w:hint="eastAsia" w:ascii="宋体" w:hAnsi="宋体" w:eastAsia="仿宋" w:cs="仿宋"/>
          <w:sz w:val="32"/>
          <w:szCs w:val="32"/>
        </w:rPr>
        <w:t>造血干细胞移植培训基地采用教学与实践相结合的方式，通过严格、科学、合理的培训，培养出合格、优秀的掌握造血干细胞移植技术的医师。</w:t>
      </w:r>
    </w:p>
    <w:p w14:paraId="741783C4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（二）培训目标及要求：</w:t>
      </w:r>
    </w:p>
    <w:p w14:paraId="5E7612BB">
      <w:pPr>
        <w:ind w:firstLine="320" w:firstLineChars="100"/>
        <w:rPr>
          <w:rFonts w:hint="eastAsia"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 xml:space="preserve"> 1.目标：培训合格后，能够独立开展</w:t>
      </w:r>
      <w:r>
        <w:rPr>
          <w:rFonts w:hint="eastAsia" w:ascii="仿宋_GB2312" w:hAnsi="宋体" w:eastAsia="仿宋_GB2312" w:cs="Arial"/>
          <w:kern w:val="2"/>
          <w:sz w:val="32"/>
          <w:szCs w:val="32"/>
          <w:lang w:val="en-US" w:eastAsia="zh-CN" w:bidi="ar-SA"/>
        </w:rPr>
        <w:t>异基因</w:t>
      </w:r>
      <w:r>
        <w:rPr>
          <w:rFonts w:hint="eastAsia" w:ascii="宋体" w:hAnsi="宋体" w:eastAsia="仿宋" w:cs="仿宋"/>
          <w:sz w:val="32"/>
          <w:szCs w:val="32"/>
        </w:rPr>
        <w:t>造血干细胞移植技术，包括：</w:t>
      </w:r>
    </w:p>
    <w:p w14:paraId="2531D2DD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（1）</w:t>
      </w:r>
      <w:r>
        <w:rPr>
          <w:rFonts w:ascii="宋体" w:hAnsi="宋体" w:eastAsia="仿宋" w:cs="仿宋"/>
          <w:sz w:val="32"/>
          <w:szCs w:val="32"/>
        </w:rPr>
        <w:t>规范化操作：确保参训医师能够熟练掌握</w:t>
      </w:r>
      <w:r>
        <w:rPr>
          <w:rFonts w:hint="eastAsia" w:ascii="仿宋_GB2312" w:hAnsi="宋体" w:eastAsia="仿宋_GB2312" w:cs="Arial"/>
          <w:kern w:val="2"/>
          <w:sz w:val="32"/>
          <w:szCs w:val="32"/>
          <w:lang w:val="en-US" w:eastAsia="zh-CN" w:bidi="ar-SA"/>
        </w:rPr>
        <w:t>异基因</w:t>
      </w:r>
      <w:r>
        <w:rPr>
          <w:rFonts w:ascii="宋体" w:hAnsi="宋体" w:eastAsia="仿宋" w:cs="仿宋"/>
          <w:sz w:val="32"/>
          <w:szCs w:val="32"/>
        </w:rPr>
        <w:t>造血干细胞移植的规范化操作流程，包括患者评估、移植前准备、移植过程管理、移植后并发症处理等。</w:t>
      </w:r>
    </w:p>
    <w:p w14:paraId="03734161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（2）</w:t>
      </w:r>
      <w:r>
        <w:rPr>
          <w:rFonts w:ascii="宋体" w:hAnsi="宋体" w:eastAsia="仿宋" w:cs="仿宋"/>
          <w:sz w:val="32"/>
          <w:szCs w:val="32"/>
        </w:rPr>
        <w:t>知识更新：及时传达最新的科研成果、临床经验和国际指南，使参训医师能够紧跟学术前沿。</w:t>
      </w:r>
    </w:p>
    <w:p w14:paraId="779FD896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（3）</w:t>
      </w:r>
      <w:r>
        <w:rPr>
          <w:rFonts w:ascii="宋体" w:hAnsi="宋体" w:eastAsia="仿宋" w:cs="仿宋"/>
          <w:sz w:val="32"/>
          <w:szCs w:val="32"/>
        </w:rPr>
        <w:t>技能提升：通过实践操作和案例分析，提升参训医师在</w:t>
      </w:r>
      <w:r>
        <w:rPr>
          <w:rFonts w:hint="eastAsia" w:ascii="仿宋_GB2312" w:hAnsi="宋体" w:eastAsia="仿宋_GB2312" w:cs="Arial"/>
          <w:kern w:val="2"/>
          <w:sz w:val="32"/>
          <w:szCs w:val="32"/>
          <w:lang w:val="en-US" w:eastAsia="zh-CN" w:bidi="ar-SA"/>
        </w:rPr>
        <w:t>异基因</w:t>
      </w:r>
      <w:r>
        <w:rPr>
          <w:rFonts w:ascii="宋体" w:hAnsi="宋体" w:eastAsia="仿宋" w:cs="仿宋"/>
          <w:sz w:val="32"/>
          <w:szCs w:val="32"/>
        </w:rPr>
        <w:t>造血干细胞移植领域的专业技能和临床应对能力。</w:t>
      </w:r>
    </w:p>
    <w:p w14:paraId="09DAAD2A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（4）</w:t>
      </w:r>
      <w:r>
        <w:rPr>
          <w:rFonts w:ascii="宋体" w:hAnsi="宋体" w:eastAsia="仿宋" w:cs="仿宋"/>
          <w:sz w:val="32"/>
          <w:szCs w:val="32"/>
        </w:rPr>
        <w:t>团队协作：增强跨学科团队协作意识，提高在多学科诊疗团队中的协作能力。</w:t>
      </w:r>
    </w:p>
    <w:p w14:paraId="4885972B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 xml:space="preserve"> 2.要求：</w:t>
      </w:r>
      <w:r>
        <w:rPr>
          <w:rFonts w:hint="eastAsia" w:ascii="宋体" w:hAnsi="宋体" w:eastAsia="仿宋" w:cs="仿宋"/>
          <w:sz w:val="32"/>
          <w:szCs w:val="32"/>
          <w:u w:val="single"/>
        </w:rPr>
        <w:t>应当具有《医师执业证书》，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>执业范围为内科，</w:t>
      </w:r>
      <w:r>
        <w:rPr>
          <w:rFonts w:hint="eastAsia" w:ascii="宋体" w:hAnsi="宋体" w:eastAsia="仿宋" w:cs="仿宋"/>
          <w:sz w:val="32"/>
          <w:szCs w:val="32"/>
          <w:u w:val="single"/>
        </w:rPr>
        <w:t>临床工作满5年，聘任主治医师满2年</w:t>
      </w:r>
      <w:r>
        <w:rPr>
          <w:rFonts w:hint="eastAsia" w:ascii="宋体" w:hAnsi="宋体" w:eastAsia="仿宋" w:cs="仿宋"/>
          <w:sz w:val="32"/>
          <w:szCs w:val="32"/>
          <w:u w:val="single"/>
          <w:lang w:eastAsia="zh-CN"/>
        </w:rPr>
        <w:t>，</w:t>
      </w:r>
      <w:r>
        <w:rPr>
          <w:rFonts w:hint="eastAsia" w:ascii="宋体" w:hAnsi="宋体" w:eastAsia="仿宋" w:cs="仿宋"/>
          <w:sz w:val="32"/>
          <w:szCs w:val="32"/>
          <w:u w:val="single"/>
        </w:rPr>
        <w:t>拟开展</w:t>
      </w:r>
      <w:r>
        <w:rPr>
          <w:rFonts w:hint="eastAsia" w:ascii="宋体" w:hAnsi="宋体" w:eastAsia="仿宋" w:cs="仿宋"/>
          <w:sz w:val="32"/>
          <w:szCs w:val="32"/>
          <w:u w:val="single"/>
          <w:lang w:val="en-US" w:eastAsia="zh-CN"/>
        </w:rPr>
        <w:t>异基因</w:t>
      </w:r>
      <w:r>
        <w:rPr>
          <w:rFonts w:hint="eastAsia" w:ascii="宋体" w:hAnsi="宋体" w:eastAsia="仿宋" w:cs="仿宋"/>
          <w:sz w:val="32"/>
          <w:szCs w:val="32"/>
          <w:u w:val="single"/>
        </w:rPr>
        <w:t>造血干细胞移植技术的医师。</w:t>
      </w:r>
      <w:r>
        <w:rPr>
          <w:rFonts w:ascii="宋体" w:hAnsi="宋体" w:eastAsia="仿宋" w:cs="仿宋"/>
          <w:sz w:val="32"/>
          <w:szCs w:val="32"/>
          <w:u w:val="single"/>
        </w:rPr>
        <w:t xml:space="preserve"> </w:t>
      </w:r>
    </w:p>
    <w:p w14:paraId="7C877026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  <w:lang w:eastAsia="zh-CN"/>
        </w:rPr>
        <w:t>（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" w:cs="仿宋"/>
          <w:sz w:val="32"/>
          <w:szCs w:val="32"/>
          <w:lang w:eastAsia="zh-CN"/>
        </w:rPr>
        <w:t>）</w:t>
      </w:r>
      <w:r>
        <w:rPr>
          <w:rFonts w:hint="eastAsia" w:ascii="宋体" w:hAnsi="宋体" w:eastAsia="仿宋" w:cs="仿宋"/>
          <w:sz w:val="32"/>
          <w:szCs w:val="32"/>
        </w:rPr>
        <w:t>培训内容：</w:t>
      </w:r>
    </w:p>
    <w:p w14:paraId="2CC74947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培训内容包括：异基因造血干细胞移植适应症及禁忌症、移植前评估体系、移植方式选择、预处理方案、造血干细胞移植相关应急预案、植入综合征的诊断及治疗、移植后常见并发症的处理（感染、GVHD、CMV血症、EBV血症等）、原发/继发植入不良、移植后复发的处理、移植后维持治疗方案、移植后随访监测等。以上内容均为我院血液科的优势项目，在临床工作中积累了大量的实践经验。</w:t>
      </w:r>
    </w:p>
    <w:p w14:paraId="7A0D15DA">
      <w:pPr>
        <w:numPr>
          <w:ilvl w:val="0"/>
          <w:numId w:val="0"/>
        </w:numPr>
        <w:rPr>
          <w:rFonts w:hint="eastAsia" w:ascii="宋体" w:hAnsi="宋体" w:eastAsia="仿宋" w:cs="仿宋"/>
          <w:b/>
          <w:bCs/>
          <w:sz w:val="32"/>
          <w:szCs w:val="32"/>
        </w:rPr>
      </w:pPr>
      <w:r>
        <w:rPr>
          <w:rFonts w:hint="eastAsia" w:ascii="宋体" w:hAnsi="宋体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仿宋" w:cs="仿宋"/>
          <w:b/>
          <w:bCs/>
          <w:sz w:val="32"/>
          <w:szCs w:val="32"/>
        </w:rPr>
        <w:t>、课程设置</w:t>
      </w:r>
    </w:p>
    <w:p w14:paraId="05D3588D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eastAsia="zh-CN"/>
        </w:rPr>
        <w:t>（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仿宋" w:cs="仿宋"/>
          <w:sz w:val="32"/>
          <w:szCs w:val="32"/>
          <w:lang w:eastAsia="zh-CN"/>
        </w:rPr>
        <w:t>）</w:t>
      </w:r>
      <w:r>
        <w:rPr>
          <w:rFonts w:ascii="宋体" w:hAnsi="宋体" w:eastAsia="仿宋" w:cs="仿宋"/>
          <w:sz w:val="32"/>
          <w:szCs w:val="32"/>
        </w:rPr>
        <w:t xml:space="preserve"> 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理论知识：</w:t>
      </w:r>
    </w:p>
    <w:p w14:paraId="17F8BFE3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1.异基因造血干细胞移植的基础理论</w:t>
      </w:r>
    </w:p>
    <w:p w14:paraId="3CE636D0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2.患者评估与选择标准</w:t>
      </w:r>
    </w:p>
    <w:p w14:paraId="66D1B11D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3.移植前准备与预处理方案</w:t>
      </w:r>
    </w:p>
    <w:p w14:paraId="1584806D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4.移植后并发症的预防与处理</w:t>
      </w:r>
    </w:p>
    <w:p w14:paraId="7D6039B7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5.最新研究进展与临床指南解读</w:t>
      </w:r>
    </w:p>
    <w:p w14:paraId="6F931B50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（二）实践操作：</w:t>
      </w:r>
    </w:p>
    <w:p w14:paraId="798BB33C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1.造血干细胞采集技术</w:t>
      </w:r>
    </w:p>
    <w:p w14:paraId="7F6809A4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2.移植过程中的监护与管理</w:t>
      </w:r>
    </w:p>
    <w:p w14:paraId="5546DABA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3.移植后患者的随访与长期管理</w:t>
      </w:r>
    </w:p>
    <w:p w14:paraId="70E20AEE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4. 实验室检测技术（如HLA配型、细胞计数等）</w:t>
      </w:r>
    </w:p>
    <w:p w14:paraId="2ACA46AC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（三）案例分析：</w:t>
      </w:r>
    </w:p>
    <w:p w14:paraId="2D05F1DA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1.成功案例分享与经验总结</w:t>
      </w:r>
    </w:p>
    <w:p w14:paraId="581C08F8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2.失败案例分析与教训汲取</w:t>
      </w:r>
    </w:p>
    <w:p w14:paraId="3F9E4E2C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3.疑难病例讨论与解决方案探讨</w:t>
      </w:r>
    </w:p>
    <w:p w14:paraId="3729B53E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（四）伦理与法律</w:t>
      </w:r>
    </w:p>
    <w:p w14:paraId="561ADB65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1.异基因造血干细胞移植的伦理问题</w:t>
      </w:r>
    </w:p>
    <w:p w14:paraId="5F5FA3A8">
      <w:pPr>
        <w:ind w:firstLine="320" w:firstLineChars="1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2.相关法律法规与医疗规范</w:t>
      </w:r>
    </w:p>
    <w:p w14:paraId="3E749035">
      <w:pPr>
        <w:ind w:firstLine="320" w:firstLineChars="1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仿宋" w:cs="仿宋"/>
          <w:sz w:val="32"/>
          <w:szCs w:val="32"/>
          <w:lang w:eastAsia="zh-CN"/>
        </w:rPr>
        <w:t>、</w:t>
      </w:r>
      <w:r>
        <w:rPr>
          <w:rFonts w:hint="eastAsia" w:ascii="宋体" w:hAnsi="宋体" w:eastAsia="仿宋" w:cs="仿宋"/>
          <w:sz w:val="32"/>
          <w:szCs w:val="32"/>
        </w:rPr>
        <w:t>考核方案</w:t>
      </w:r>
    </w:p>
    <w:p w14:paraId="1D435E4B">
      <w:pPr>
        <w:ind w:firstLine="640" w:firstLineChars="200"/>
        <w:rPr>
          <w:rFonts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仿宋" w:cs="仿宋"/>
          <w:sz w:val="32"/>
          <w:szCs w:val="32"/>
        </w:rPr>
        <w:t>为每位接受培训的医师建立培训及考试、考核档案，完成考核评价，确保接受培训的医师在规定时间内完成规定的培训内容。</w:t>
      </w:r>
      <w:r>
        <w:rPr>
          <w:rFonts w:ascii="宋体" w:hAnsi="宋体" w:eastAsia="仿宋" w:cs="仿宋"/>
          <w:sz w:val="32"/>
          <w:szCs w:val="32"/>
        </w:rPr>
        <w:t>培训结束后，对</w:t>
      </w:r>
      <w:r>
        <w:rPr>
          <w:rFonts w:hint="eastAsia" w:ascii="宋体" w:hAnsi="宋体" w:eastAsia="仿宋" w:cs="仿宋"/>
          <w:sz w:val="32"/>
          <w:szCs w:val="32"/>
        </w:rPr>
        <w:t>每名</w:t>
      </w:r>
      <w:r>
        <w:rPr>
          <w:rFonts w:ascii="宋体" w:hAnsi="宋体" w:eastAsia="仿宋" w:cs="仿宋"/>
          <w:sz w:val="32"/>
          <w:szCs w:val="32"/>
        </w:rPr>
        <w:t>接受培训的医师进行考试、考核，并出具考核结论</w:t>
      </w:r>
      <w:r>
        <w:rPr>
          <w:rFonts w:hint="eastAsia" w:ascii="宋体" w:hAnsi="宋体" w:eastAsia="仿宋" w:cs="仿宋"/>
          <w:sz w:val="32"/>
          <w:szCs w:val="32"/>
        </w:rPr>
        <w:t>。</w:t>
      </w:r>
    </w:p>
    <w:p w14:paraId="4B7E5341">
      <w:pPr>
        <w:ind w:firstLine="640" w:firstLineChars="200"/>
        <w:rPr>
          <w:rFonts w:hint="eastAsia"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" w:cs="仿宋"/>
          <w:sz w:val="32"/>
          <w:szCs w:val="32"/>
        </w:rPr>
        <w:t>设置月度考核、结业考核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两种考核方式。</w:t>
      </w:r>
      <w:r>
        <w:rPr>
          <w:rFonts w:hint="eastAsia" w:ascii="宋体" w:hAnsi="宋体" w:eastAsia="仿宋" w:cs="仿宋"/>
          <w:sz w:val="32"/>
          <w:szCs w:val="32"/>
        </w:rPr>
        <w:t>对接受培训的医师按月度进行阶段性考核，培训结束后</w:t>
      </w:r>
      <w:r>
        <w:rPr>
          <w:rFonts w:ascii="宋体" w:hAnsi="宋体" w:eastAsia="仿宋" w:cs="仿宋"/>
          <w:sz w:val="32"/>
          <w:szCs w:val="32"/>
        </w:rPr>
        <w:t>对理论和实际操作进行考试、考核，并出具是否合格的结论。</w:t>
      </w:r>
    </w:p>
    <w:p w14:paraId="355750E5">
      <w:pPr>
        <w:ind w:firstLine="640" w:firstLineChars="200"/>
        <w:rPr>
          <w:rFonts w:hint="eastAsia"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3.临床实践：</w:t>
      </w:r>
      <w:r>
        <w:rPr>
          <w:rFonts w:hint="eastAsia" w:ascii="宋体" w:hAnsi="宋体" w:eastAsia="仿宋" w:cs="仿宋"/>
          <w:sz w:val="32"/>
          <w:szCs w:val="32"/>
        </w:rPr>
        <w:t>考核人员应当接受至少6个月的系统培训：在指导医师指导下，参与20例以上造血干细胞移植技术操作和患者的全过程管理，包括移植前适应症及禁忌症评估、移植方式评估、预处理方案选择、可能发生的风险及应对措施、移植后并发症的诊断及处理、移植后原发病的监测、移植后维持治疗方案、移植后随访等。</w:t>
      </w:r>
    </w:p>
    <w:p w14:paraId="2285712E">
      <w:pPr>
        <w:ind w:firstLine="640" w:firstLineChars="200"/>
        <w:rPr>
          <w:rFonts w:hint="eastAsia" w:ascii="宋体" w:hAnsi="宋体" w:eastAsia="仿宋" w:cs="仿宋"/>
          <w:sz w:val="32"/>
          <w:szCs w:val="32"/>
        </w:rPr>
      </w:pPr>
      <w:r>
        <w:rPr>
          <w:rFonts w:hint="eastAsia" w:ascii="宋体" w:hAnsi="宋体" w:eastAsia="仿宋" w:cs="仿宋"/>
          <w:sz w:val="32"/>
          <w:szCs w:val="32"/>
        </w:rPr>
        <w:t>完成理论考核及全部操作技能考核，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临床实践</w:t>
      </w:r>
      <w:r>
        <w:rPr>
          <w:rFonts w:hint="eastAsia" w:ascii="宋体" w:hAnsi="宋体" w:eastAsia="仿宋" w:cs="仿宋"/>
          <w:sz w:val="32"/>
          <w:szCs w:val="32"/>
        </w:rPr>
        <w:t>合格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者</w:t>
      </w:r>
      <w:r>
        <w:rPr>
          <w:rFonts w:hint="eastAsia" w:ascii="宋体" w:hAnsi="宋体" w:eastAsia="仿宋" w:cs="仿宋"/>
          <w:sz w:val="32"/>
          <w:szCs w:val="32"/>
        </w:rPr>
        <w:t>授予</w:t>
      </w: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异基因造血干细胞移植术规范化</w:t>
      </w:r>
      <w:r>
        <w:rPr>
          <w:rFonts w:hint="eastAsia" w:ascii="宋体" w:hAnsi="宋体" w:eastAsia="仿宋" w:cs="仿宋"/>
          <w:sz w:val="32"/>
          <w:szCs w:val="32"/>
        </w:rPr>
        <w:t>培训合格证书。</w:t>
      </w:r>
    </w:p>
    <w:p w14:paraId="7B86A2C0">
      <w:pPr>
        <w:numPr>
          <w:ilvl w:val="0"/>
          <w:numId w:val="1"/>
        </w:numPr>
        <w:ind w:firstLine="640" w:firstLineChars="200"/>
        <w:rPr>
          <w:rFonts w:hint="eastAsia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>联系方式：</w:t>
      </w:r>
    </w:p>
    <w:p w14:paraId="20AE6D3B">
      <w:pPr>
        <w:numPr>
          <w:ilvl w:val="0"/>
          <w:numId w:val="0"/>
        </w:numPr>
        <w:rPr>
          <w:rFonts w:hint="default" w:ascii="宋体" w:hAnsi="宋体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仿宋" w:cs="仿宋"/>
          <w:sz w:val="32"/>
          <w:szCs w:val="32"/>
          <w:lang w:val="en-US" w:eastAsia="zh-CN"/>
        </w:rPr>
        <w:t xml:space="preserve">    血液内科：房孝生  15168889703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97786"/>
    <w:multiLevelType w:val="singleLevel"/>
    <w:tmpl w:val="A289778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YzFkZGQ4NThlZTE4M2U5MGJiN2M0Y2QyYzNjODQifQ=="/>
  </w:docVars>
  <w:rsids>
    <w:rsidRoot w:val="00862928"/>
    <w:rsid w:val="001C29D5"/>
    <w:rsid w:val="004748AD"/>
    <w:rsid w:val="005D12AE"/>
    <w:rsid w:val="005D4F27"/>
    <w:rsid w:val="00862928"/>
    <w:rsid w:val="009E26EA"/>
    <w:rsid w:val="00DF4BAA"/>
    <w:rsid w:val="01D10F0F"/>
    <w:rsid w:val="04533824"/>
    <w:rsid w:val="047E60DA"/>
    <w:rsid w:val="0590329E"/>
    <w:rsid w:val="0C635A6D"/>
    <w:rsid w:val="0F114D4E"/>
    <w:rsid w:val="13E60F01"/>
    <w:rsid w:val="150738C1"/>
    <w:rsid w:val="186349DC"/>
    <w:rsid w:val="18923DC8"/>
    <w:rsid w:val="190A4B0D"/>
    <w:rsid w:val="1D037B93"/>
    <w:rsid w:val="20C95697"/>
    <w:rsid w:val="29977492"/>
    <w:rsid w:val="367A5283"/>
    <w:rsid w:val="402C1320"/>
    <w:rsid w:val="4CC02E09"/>
    <w:rsid w:val="561319C6"/>
    <w:rsid w:val="58F77DAA"/>
    <w:rsid w:val="596F59A0"/>
    <w:rsid w:val="5FAC6022"/>
    <w:rsid w:val="64854988"/>
    <w:rsid w:val="734A06AF"/>
    <w:rsid w:val="741F3F00"/>
    <w:rsid w:val="74965C07"/>
    <w:rsid w:val="785E2058"/>
    <w:rsid w:val="7A575C03"/>
    <w:rsid w:val="7E19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11"/>
      <w:szCs w:val="11"/>
      <w:u w:val="none"/>
    </w:rPr>
  </w:style>
  <w:style w:type="character" w:customStyle="1" w:styleId="7">
    <w:name w:val="font01"/>
    <w:basedOn w:val="5"/>
    <w:qFormat/>
    <w:uiPriority w:val="0"/>
    <w:rPr>
      <w:rFonts w:ascii="Arial" w:hAnsi="Arial" w:cs="Arial"/>
      <w:color w:val="000000"/>
      <w:sz w:val="11"/>
      <w:szCs w:val="11"/>
      <w:u w:val="none"/>
      <w:vertAlign w:val="superscript"/>
    </w:rPr>
  </w:style>
  <w:style w:type="paragraph" w:customStyle="1" w:styleId="8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4</Pages>
  <Words>1192</Words>
  <Characters>1231</Characters>
  <Lines>10</Lines>
  <Paragraphs>2</Paragraphs>
  <TotalTime>18</TotalTime>
  <ScaleCrop>false</ScaleCrop>
  <LinksUpToDate>false</LinksUpToDate>
  <CharactersWithSpaces>1286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2021-02-01T02:10:00Z</dcterms:created>
  <dc:creator>Administrator</dc:creator>
  <cp:lastModifiedBy>强</cp:lastModifiedBy>
  <cp:lastPrinted>2024-11-25T07:08:00Z</cp:lastPrinted>
  <dcterms:modified xsi:type="dcterms:W3CDTF">2025-03-03T09:19:00Z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E6760E287FBF4939BD3F9597C7BB9196_13</vt:lpwstr>
  </property>
  <property fmtid="{D5CDD505-2E9C-101B-9397-08002B2CF9AE}" pid="4" name="KSOTemplateDocerSaveRecord">
    <vt:lpwstr>eyJoZGlkIjoiMjY0ZWY3NmY1YzM2YmRkNzg3MDNhMmRhNDA3ZmJjMDUiLCJ1c2VySWQiOiIzNzc0NjQ0NzYifQ==</vt:lpwstr>
  </property>
</Properties>
</file>